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00"/>
        <w:gridCol w:w="4820"/>
      </w:tblGrid>
      <w:tr w:rsidR="00061543" w:rsidTr="009E44E9">
        <w:trPr>
          <w:jc w:val="center"/>
        </w:trPr>
        <w:tc>
          <w:tcPr>
            <w:tcW w:w="8820" w:type="dxa"/>
            <w:gridSpan w:val="2"/>
          </w:tcPr>
          <w:p w:rsidR="00061543" w:rsidRPr="00DD05A8" w:rsidRDefault="0094424E" w:rsidP="00061543">
            <w:pPr>
              <w:suppressLineNumbers/>
              <w:jc w:val="right"/>
              <w:rPr>
                <w:rFonts w:ascii="Arial" w:hAnsi="Arial"/>
                <w:b/>
                <w:bCs/>
                <w:sz w:val="26"/>
                <w:szCs w:val="26"/>
                <w:rtl/>
              </w:rPr>
            </w:pPr>
            <w:r>
              <w:rPr>
                <w:rtl/>
              </w:rPr>
              <w:t xml:space="preserve"> </w:t>
            </w:r>
            <w:r w:rsidR="00061543">
              <w:rPr>
                <w:rFonts w:ascii="Arial" w:hAnsi="Arial" w:hint="cs"/>
                <w:b/>
                <w:bCs/>
                <w:sz w:val="26"/>
                <w:szCs w:val="26"/>
                <w:rtl/>
              </w:rPr>
              <w:t>11.8.2023</w:t>
            </w:r>
          </w:p>
        </w:tc>
      </w:tr>
      <w:tr w:rsidR="00061543" w:rsidTr="009E44E9">
        <w:trPr>
          <w:jc w:val="center"/>
        </w:trPr>
        <w:tc>
          <w:tcPr>
            <w:tcW w:w="8820" w:type="dxa"/>
            <w:gridSpan w:val="2"/>
          </w:tcPr>
          <w:p w:rsidR="00061543" w:rsidRPr="00DD05A8" w:rsidRDefault="00061543" w:rsidP="00061543">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r w:rsidRPr="00DD05A8">
              <w:rPr>
                <w:rFonts w:ascii="Arial" w:hAnsi="Arial" w:hint="cs"/>
                <w:b/>
                <w:bCs/>
                <w:sz w:val="26"/>
                <w:szCs w:val="26"/>
                <w:rtl/>
              </w:rPr>
              <w:t>כבוד ה</w:t>
            </w:r>
            <w:r>
              <w:rPr>
                <w:rFonts w:ascii="Arial" w:hAnsi="Arial"/>
                <w:b/>
                <w:bCs/>
                <w:sz w:val="26"/>
                <w:szCs w:val="26"/>
                <w:rtl/>
              </w:rPr>
              <w:t>שופטת</w:t>
            </w:r>
            <w:r w:rsidRPr="00DD05A8">
              <w:rPr>
                <w:rFonts w:ascii="Arial" w:hAnsi="Arial" w:hint="cs"/>
                <w:b/>
                <w:bCs/>
                <w:sz w:val="26"/>
                <w:szCs w:val="26"/>
                <w:rtl/>
              </w:rPr>
              <w:t xml:space="preserve"> </w:t>
            </w:r>
            <w:r>
              <w:rPr>
                <w:rFonts w:ascii="Arial" w:hAnsi="Arial"/>
                <w:b/>
                <w:bCs/>
                <w:sz w:val="26"/>
                <w:szCs w:val="26"/>
                <w:rtl/>
              </w:rPr>
              <w:t>תמר בר-אשר</w:t>
            </w:r>
          </w:p>
          <w:p w:rsidR="00061543" w:rsidRDefault="00061543" w:rsidP="00D44968">
            <w:pPr>
              <w:suppressLineNumbers/>
              <w:rPr>
                <w:rFonts w:ascii="Arial" w:hAnsi="Arial" w:cs="FrankRuehl"/>
                <w:sz w:val="26"/>
                <w:szCs w:val="26"/>
                <w:highlight w:val="yellow"/>
                <w:rtl/>
              </w:rPr>
            </w:pPr>
          </w:p>
          <w:p w:rsidR="00061543" w:rsidRPr="00DD05A8" w:rsidRDefault="00061543" w:rsidP="00D44968">
            <w:pPr>
              <w:suppressLineNumbers/>
              <w:rPr>
                <w:rFonts w:ascii="Arial" w:hAnsi="Arial" w:cs="FrankRuehl"/>
                <w:sz w:val="26"/>
                <w:szCs w:val="26"/>
                <w:highlight w:val="yellow"/>
              </w:rPr>
            </w:pPr>
          </w:p>
        </w:tc>
      </w:tr>
      <w:tr w:rsidR="0094424E" w:rsidTr="00061543">
        <w:trPr>
          <w:jc w:val="center"/>
        </w:trPr>
        <w:tc>
          <w:tcPr>
            <w:tcW w:w="4000" w:type="dxa"/>
          </w:tcPr>
          <w:p w:rsidR="004F419B" w:rsidRDefault="00061543" w:rsidP="00061543">
            <w:pPr>
              <w:suppressLineNumbers/>
              <w:rPr>
                <w:rFonts w:ascii="Arial" w:hAnsi="Arial"/>
                <w:b/>
                <w:bCs/>
                <w:noProof w:val="0"/>
                <w:sz w:val="26"/>
                <w:szCs w:val="26"/>
                <w:rtl/>
              </w:rPr>
            </w:pPr>
            <w:r>
              <w:rPr>
                <w:rFonts w:ascii="Arial" w:hAnsi="Arial" w:hint="cs"/>
                <w:b/>
                <w:bCs/>
                <w:noProof w:val="0"/>
                <w:sz w:val="26"/>
                <w:szCs w:val="26"/>
                <w:rtl/>
              </w:rPr>
              <w:t>ה</w:t>
            </w:r>
            <w:r w:rsidR="0093377C">
              <w:rPr>
                <w:rFonts w:ascii="Arial" w:hAnsi="Arial"/>
                <w:b/>
                <w:bCs/>
                <w:noProof w:val="0"/>
                <w:sz w:val="26"/>
                <w:szCs w:val="26"/>
                <w:rtl/>
              </w:rPr>
              <w:t>מערער</w:t>
            </w:r>
          </w:p>
        </w:tc>
        <w:tc>
          <w:tcPr>
            <w:tcW w:w="4820" w:type="dxa"/>
          </w:tcPr>
          <w:p w:rsidR="0094424E" w:rsidRDefault="00061543" w:rsidP="00061543">
            <w:pPr>
              <w:suppressLineNumbers/>
              <w:rPr>
                <w:b/>
                <w:bCs/>
                <w:noProof w:val="0"/>
                <w:sz w:val="26"/>
                <w:szCs w:val="26"/>
              </w:rPr>
            </w:pPr>
            <w:r>
              <w:rPr>
                <w:rFonts w:ascii="Arial" w:hAnsi="Arial" w:hint="cs"/>
                <w:b/>
                <w:bCs/>
                <w:noProof w:val="0"/>
                <w:sz w:val="26"/>
                <w:szCs w:val="26"/>
                <w:rtl/>
              </w:rPr>
              <w:t>פלוני</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061543">
        <w:trPr>
          <w:jc w:val="center"/>
        </w:trPr>
        <w:tc>
          <w:tcPr>
            <w:tcW w:w="4000" w:type="dxa"/>
          </w:tcPr>
          <w:p w:rsidR="0094424E" w:rsidRDefault="00061543" w:rsidP="00061543">
            <w:pPr>
              <w:suppressLineNumbers/>
              <w:rPr>
                <w:rFonts w:ascii="Arial" w:hAnsi="Arial"/>
                <w:b/>
                <w:bCs/>
                <w:noProof w:val="0"/>
                <w:sz w:val="26"/>
                <w:szCs w:val="26"/>
              </w:rPr>
            </w:pPr>
            <w:r>
              <w:rPr>
                <w:rFonts w:ascii="Arial" w:hAnsi="Arial" w:hint="cs"/>
                <w:b/>
                <w:bCs/>
                <w:noProof w:val="0"/>
                <w:sz w:val="26"/>
                <w:szCs w:val="26"/>
                <w:rtl/>
              </w:rPr>
              <w:t>ה</w:t>
            </w:r>
            <w:r w:rsidR="00B859C5">
              <w:rPr>
                <w:rFonts w:ascii="Arial" w:hAnsi="Arial"/>
                <w:b/>
                <w:bCs/>
                <w:noProof w:val="0"/>
                <w:sz w:val="26"/>
                <w:szCs w:val="26"/>
                <w:rtl/>
              </w:rPr>
              <w:t>משיב</w:t>
            </w:r>
          </w:p>
        </w:tc>
        <w:tc>
          <w:tcPr>
            <w:tcW w:w="4820" w:type="dxa"/>
          </w:tcPr>
          <w:p w:rsidR="00CF6BB7" w:rsidRPr="009E461A" w:rsidRDefault="00061543" w:rsidP="007C2453">
            <w:pPr>
              <w:suppressLineNumbers/>
              <w:rPr>
                <w:rtl/>
              </w:rPr>
            </w:pPr>
            <w:r>
              <w:rPr>
                <w:rFonts w:ascii="Arial" w:hAnsi="Arial" w:hint="cs"/>
                <w:b/>
                <w:bCs/>
                <w:noProof w:val="0"/>
                <w:sz w:val="26"/>
                <w:szCs w:val="26"/>
                <w:rtl/>
              </w:rPr>
              <w:t>אלמוני</w:t>
            </w:r>
          </w:p>
        </w:tc>
      </w:tr>
    </w:tbl>
    <w:p w:rsidR="0094424E" w:rsidRDefault="0094424E" w:rsidP="00D44968">
      <w:pPr>
        <w:suppressLineNumbers/>
        <w:rPr>
          <w:rtl/>
        </w:rPr>
      </w:pPr>
    </w:p>
    <w:p w:rsidR="00061543" w:rsidRDefault="00061543" w:rsidP="00D44968">
      <w:pPr>
        <w:suppressLineNumbers/>
        <w:rPr>
          <w:rtl/>
        </w:rPr>
      </w:pPr>
    </w:p>
    <w:p w:rsidR="00061543" w:rsidRDefault="00061543" w:rsidP="00D44968">
      <w:pPr>
        <w:suppressLineNumbers/>
        <w:rPr>
          <w:rtl/>
        </w:rPr>
      </w:pPr>
      <w:r>
        <w:rPr>
          <w:rFonts w:hint="cs"/>
          <w:rtl/>
        </w:rPr>
        <w:t xml:space="preserve">המערער </w:t>
      </w:r>
      <w:r>
        <w:rPr>
          <w:rtl/>
        </w:rPr>
        <w:t>–</w:t>
      </w:r>
      <w:r>
        <w:rPr>
          <w:rFonts w:hint="cs"/>
          <w:rtl/>
        </w:rPr>
        <w:t xml:space="preserve"> בעצמו</w:t>
      </w:r>
    </w:p>
    <w:p w:rsidR="00061543" w:rsidRDefault="00061543" w:rsidP="00D44968">
      <w:pPr>
        <w:suppressLineNumbers/>
        <w:rPr>
          <w:rtl/>
        </w:rPr>
      </w:pPr>
    </w:p>
    <w:p w:rsidR="00061543" w:rsidRDefault="0006154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61543" w:rsidRPr="00061543" w:rsidRDefault="00061543" w:rsidP="00061543">
      <w:pPr>
        <w:spacing w:line="360" w:lineRule="auto"/>
        <w:jc w:val="both"/>
        <w:rPr>
          <w:rFonts w:ascii="Arial" w:hAnsi="Arial"/>
          <w:noProof w:val="0"/>
          <w:rtl/>
        </w:rPr>
      </w:pPr>
      <w:bookmarkStart w:id="0" w:name="NGCSBookmark"/>
      <w:bookmarkEnd w:id="0"/>
      <w:r w:rsidRPr="00061543">
        <w:rPr>
          <w:rFonts w:ascii="Arial" w:hAnsi="Arial" w:hint="cs"/>
          <w:noProof w:val="0"/>
          <w:rtl/>
        </w:rPr>
        <w:t xml:space="preserve">הערעור הנדון הוגש ביום 10.8.2023 על החלטת בית משפט השלום בבית שמש (כבוד השופט א' יחזקאל) בתיק ה"ט 4607-07-23 מיום 23.7.2023, שלפיה לא יחול שינוי בצו ההרחקה שניתן מכוח  חוק מניעת הטרדה מאיימת, התשס"ב-2001 (להלן – </w:t>
      </w:r>
      <w:r w:rsidRPr="00061543">
        <w:rPr>
          <w:rFonts w:ascii="Arial" w:hAnsi="Arial" w:hint="cs"/>
          <w:b/>
          <w:bCs/>
          <w:noProof w:val="0"/>
          <w:rtl/>
        </w:rPr>
        <w:t>חוק מניעת הטרדה</w:t>
      </w:r>
      <w:r w:rsidRPr="00061543">
        <w:rPr>
          <w:rFonts w:ascii="Arial" w:hAnsi="Arial" w:hint="cs"/>
          <w:noProof w:val="0"/>
          <w:rtl/>
        </w:rPr>
        <w:t>) במסגרת הליכים קודמים ובהסכמת המשיב הוא יעמוד בתוקף עד יום 9.1.2024.</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לאחר עיון בבקשת רשות הערעור, בהחלטת בית המשפט קמא ובכלל ההחלטות שניתנו בהליכים הקודמים, שיפורטו להלן, ובהתאם לסמכותי מכוח תקנה 138(א)(1) בתקנות סדר הדין האזרחי, תשע"ט-2018 (להלן –</w:t>
      </w:r>
      <w:r w:rsidRPr="00061543">
        <w:rPr>
          <w:rFonts w:ascii="Arial" w:hAnsi="Arial" w:hint="cs"/>
          <w:b/>
          <w:bCs/>
          <w:noProof w:val="0"/>
          <w:rtl/>
        </w:rPr>
        <w:t xml:space="preserve"> תקנות סדר הדין האזרחי</w:t>
      </w:r>
      <w:r w:rsidRPr="00061543">
        <w:rPr>
          <w:rFonts w:ascii="Arial" w:hAnsi="Arial" w:hint="cs"/>
          <w:noProof w:val="0"/>
          <w:rtl/>
        </w:rPr>
        <w:t>), הגעתי לכלל מסקנה כי יש לדחות את הערעור, ללא צורך בקבלת תשובת המשיב.</w:t>
      </w:r>
      <w:r w:rsidRPr="00061543">
        <w:rPr>
          <w:rFonts w:ascii="Arial" w:hAnsi="Arial" w:hint="cs"/>
          <w:noProof w:val="0"/>
        </w:rPr>
        <w:t xml:space="preserve">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b/>
          <w:bCs/>
          <w:noProof w:val="0"/>
          <w:u w:val="single"/>
          <w:rtl/>
        </w:rPr>
      </w:pPr>
      <w:r w:rsidRPr="00061543">
        <w:rPr>
          <w:rFonts w:ascii="Arial" w:hAnsi="Arial" w:hint="cs"/>
          <w:b/>
          <w:bCs/>
          <w:noProof w:val="0"/>
          <w:u w:val="single"/>
          <w:rtl/>
        </w:rPr>
        <w:t>רקע ועיקרי העובדות הדרושות</w:t>
      </w:r>
    </w:p>
    <w:p w:rsidR="00061543" w:rsidRPr="00061543" w:rsidRDefault="00061543" w:rsidP="00061543">
      <w:pPr>
        <w:spacing w:line="360" w:lineRule="auto"/>
        <w:jc w:val="both"/>
        <w:rPr>
          <w:rFonts w:ascii="Arial" w:hAnsi="Arial"/>
          <w:noProof w:val="0"/>
          <w:sz w:val="16"/>
          <w:szCs w:val="16"/>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2.</w:t>
      </w:r>
      <w:r w:rsidRPr="00061543">
        <w:rPr>
          <w:rFonts w:ascii="Arial" w:hAnsi="Arial" w:hint="cs"/>
          <w:noProof w:val="0"/>
          <w:rtl/>
        </w:rPr>
        <w:tab/>
        <w:t xml:space="preserve">על-פי הנטען וכפי שעולה מעיון בהליך שהתקיים בבית המשפט קמא, הרקע להליכי הבקשות לפי חוק מניעת הטרדה שנקט המבקש נגד המשיב, הוא הליך פלילי שהתנהל נגד המשיב שעניינו עבירת מין שעבר כלפי המבקש. בעטיו הוא נדון בין השאר, למאסר בעבודות שירות שהסתיימו בסוף חודש יולי האחרון.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 xml:space="preserve">בחודש ינואר 2023 עתר המבקש לראשונה למתן צו לפי חוק מניעת הטרדה ובקשתו נדונה במעמד שני הצדים ביום 10.1.2023 (ה"ט 10305-01-23 (להלן – </w:t>
      </w:r>
      <w:r w:rsidRPr="00061543">
        <w:rPr>
          <w:rFonts w:ascii="Arial" w:hAnsi="Arial" w:hint="cs"/>
          <w:b/>
          <w:bCs/>
          <w:noProof w:val="0"/>
          <w:rtl/>
        </w:rPr>
        <w:t>הבקשה הראשונה</w:t>
      </w:r>
      <w:r w:rsidRPr="00061543">
        <w:rPr>
          <w:rFonts w:ascii="Arial" w:hAnsi="Arial" w:hint="cs"/>
          <w:noProof w:val="0"/>
          <w:rtl/>
        </w:rPr>
        <w:t xml:space="preserve">)). בהחלטה מאותו יום קבע בית המשפט (סגנית הנשיא, כבוד השופטת מ' אב-גנים ויינשטיין), כי אין מחלוקת על כך שלא ניתן בעניין המשיב צו הגנה מכוח חוק הגנה על הציבור מפני ביצוע עבירות מין, התשס"ו-2006 (להלן – </w:t>
      </w:r>
      <w:r w:rsidRPr="00061543">
        <w:rPr>
          <w:rFonts w:ascii="Arial" w:hAnsi="Arial" w:hint="cs"/>
          <w:b/>
          <w:bCs/>
          <w:noProof w:val="0"/>
          <w:rtl/>
        </w:rPr>
        <w:t>חוק הגנה מפני עבירות מין</w:t>
      </w:r>
      <w:r w:rsidRPr="00061543">
        <w:rPr>
          <w:rFonts w:ascii="Arial" w:hAnsi="Arial" w:hint="cs"/>
          <w:noProof w:val="0"/>
          <w:rtl/>
        </w:rPr>
        <w:t xml:space="preserve">), וכי אף אין מחלוקת על כך שמאז שנת 2008 לא נוצר קשר בין המשיב לבין המבקש. בנסיבות אלו נקבע, כי </w:t>
      </w:r>
      <w:r w:rsidRPr="00061543">
        <w:rPr>
          <w:rFonts w:ascii="Arial" w:hAnsi="Arial" w:hint="cs"/>
          <w:b/>
          <w:bCs/>
          <w:noProof w:val="0"/>
          <w:rtl/>
        </w:rPr>
        <w:t xml:space="preserve">"במצב רגיל ואלמלא הרשעת המשיב ומצבו הנפשי הרגיש של המבקש, היה מקום לשקול לדחות את הבקשה. עם זאת, עסקינן במצב חריג בו עצם </w:t>
      </w:r>
      <w:r w:rsidRPr="00061543">
        <w:rPr>
          <w:rFonts w:ascii="Arial" w:hAnsi="Arial" w:hint="cs"/>
          <w:b/>
          <w:bCs/>
          <w:noProof w:val="0"/>
          <w:rtl/>
        </w:rPr>
        <w:lastRenderedPageBreak/>
        <w:t xml:space="preserve">הקרבה למשיב (...) עשויה לפגוע בשלוות חייו של המבקש ובכך, מצאתי כי איזון נכון בין הצדדים יהיה </w:t>
      </w:r>
      <w:r w:rsidRPr="00061543">
        <w:rPr>
          <w:rFonts w:ascii="Arial" w:hAnsi="Arial" w:hint="cs"/>
          <w:b/>
          <w:bCs/>
          <w:noProof w:val="0"/>
          <w:u w:val="single"/>
          <w:rtl/>
        </w:rPr>
        <w:t>לשמר את המצב הקיים</w:t>
      </w:r>
      <w:r w:rsidRPr="00061543">
        <w:rPr>
          <w:rFonts w:ascii="Arial" w:hAnsi="Arial" w:hint="cs"/>
          <w:b/>
          <w:bCs/>
          <w:noProof w:val="0"/>
          <w:rtl/>
        </w:rPr>
        <w:t xml:space="preserve"> ובו הצדדים אינם יוצרים כל קשר האחד עם השני ושומרים על מרחק"</w:t>
      </w:r>
      <w:r w:rsidRPr="00061543">
        <w:rPr>
          <w:rFonts w:ascii="Arial" w:hAnsi="Arial" w:hint="cs"/>
          <w:noProof w:val="0"/>
          <w:rtl/>
        </w:rPr>
        <w:t xml:space="preserve"> (ההדגשה במקור).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 xml:space="preserve">בית המשפט הוסיף בהחלטתו, כי אין מקום לקבל את הבקשה במלואה, אשר במסגרתה התבקשה הרחקת המשיב משורה ארוכה של מקומות, אשר השתרעה על פני ארבעה עמודים, בהיותה </w:t>
      </w:r>
      <w:r w:rsidRPr="00061543">
        <w:rPr>
          <w:rFonts w:ascii="Arial" w:hAnsi="Arial" w:hint="cs"/>
          <w:b/>
          <w:bCs/>
          <w:noProof w:val="0"/>
          <w:rtl/>
        </w:rPr>
        <w:t>"חורגת מהסביר ומהנדרש"</w:t>
      </w:r>
      <w:r w:rsidRPr="00061543">
        <w:rPr>
          <w:rFonts w:ascii="Arial" w:hAnsi="Arial" w:hint="cs"/>
          <w:noProof w:val="0"/>
          <w:rtl/>
        </w:rPr>
        <w:t xml:space="preserve">. אולם כדי לוודא כי נשמר המצב הנוכחי שבו אין יצירת קשר בין המשיב למבקש, נקבע כי </w:t>
      </w:r>
      <w:r w:rsidRPr="00061543">
        <w:rPr>
          <w:rFonts w:ascii="Arial" w:hAnsi="Arial" w:hint="cs"/>
          <w:b/>
          <w:bCs/>
          <w:noProof w:val="0"/>
          <w:rtl/>
        </w:rPr>
        <w:t>"הצדדים לא יצרו כל קשר האחד עם השני ולא יימצאו במרחק הקטן מ-5 מטרים מהצד שכנגד"</w:t>
      </w:r>
      <w:r w:rsidRPr="00061543">
        <w:rPr>
          <w:rFonts w:ascii="Arial" w:hAnsi="Arial" w:hint="cs"/>
          <w:noProof w:val="0"/>
          <w:rtl/>
        </w:rPr>
        <w:t xml:space="preserve"> וכי צו זה יעמוד בתוקפו במשך שישה חודשים.</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3.</w:t>
      </w:r>
      <w:r w:rsidRPr="00061543">
        <w:rPr>
          <w:rFonts w:ascii="Arial" w:hAnsi="Arial" w:hint="cs"/>
          <w:noProof w:val="0"/>
          <w:rtl/>
        </w:rPr>
        <w:tab/>
        <w:t xml:space="preserve">המבקש לא השלים עם ההחלטה האמורה וערער על כך אל בית המשפט המחוזי בירושלים (ע"א 40996-03-23 (להלן – </w:t>
      </w:r>
      <w:r w:rsidRPr="00061543">
        <w:rPr>
          <w:rFonts w:ascii="Arial" w:hAnsi="Arial" w:hint="cs"/>
          <w:b/>
          <w:bCs/>
          <w:noProof w:val="0"/>
          <w:rtl/>
        </w:rPr>
        <w:t>הערעור הקודם</w:t>
      </w:r>
      <w:r w:rsidRPr="00061543">
        <w:rPr>
          <w:rFonts w:ascii="Arial" w:hAnsi="Arial" w:hint="cs"/>
          <w:noProof w:val="0"/>
          <w:rtl/>
        </w:rPr>
        <w:t xml:space="preserve">)). לאחר שמיעת הצדדים בדיון מיום 26.3.2023, קבע בית המשפט (כבוד השופט א' רובין), כי אין מקום לקבל את הערעור, למעט בעניין המרחק שיישמר בין המשיב למבקש. לגביו נקבע כי לא יפחת מ-25 מטר וכן כי המשיב לא יתקרב למרחק הנופל מ-100 מטר מביתו של המבקש.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4.</w:t>
      </w:r>
      <w:r w:rsidRPr="00061543">
        <w:rPr>
          <w:rFonts w:ascii="Arial" w:hAnsi="Arial" w:hint="cs"/>
          <w:noProof w:val="0"/>
          <w:rtl/>
        </w:rPr>
        <w:tab/>
        <w:t xml:space="preserve">ביום 3.7.2023 הגיש המבקש אל בית משפט השלום בבית שמש בקשה נוספת נגד המשיב לפי חוק מניעת הטרדה (ה"ט 4607-07-23 (להלן – </w:t>
      </w:r>
      <w:r w:rsidRPr="00061543">
        <w:rPr>
          <w:rFonts w:ascii="Arial" w:hAnsi="Arial" w:hint="cs"/>
          <w:b/>
          <w:bCs/>
          <w:noProof w:val="0"/>
          <w:rtl/>
        </w:rPr>
        <w:t>הבקשה השנייה</w:t>
      </w:r>
      <w:r w:rsidRPr="00061543">
        <w:rPr>
          <w:rFonts w:ascii="Arial" w:hAnsi="Arial" w:hint="cs"/>
          <w:noProof w:val="0"/>
          <w:rtl/>
        </w:rPr>
        <w:t xml:space="preserve">)). הדיון במעמד הצדדים התקיים ביום 23.7.2023 ובמהלכו הביע המשיב את הסכמתו להארכת תוקפו של הצו הקיים, אך התנגד להרחבת תנאיו. לאחר שמיעת המבקש והמשיב קבע בית המשפט קמא כי הצו שניתן ביום 10.1.2023 בעניין הבקשה הראשונה, כפי שהורחב ביום 26.3.2023 בפסק-דינו של בית המשפט המחוזי בעניין הערעור הקודם, יעמוד בתוקפו, ללא שינוי, עד יום 9.1.2024.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בנימוקיו נדרש בית המשפט קמא לכך שהמשיב עומד לסיים את עבודות השירות ולמצבו הנפשי הנטען של המבקש. עם זאת קבע, כי אין באלו כדי להצדיק את שינוי הצו שניתן במסגרת הבקשה הראשונה. עוד קבע, כי לא עלה בידי המבקש לבסס כנדרש את טענתו כי המשיב הפר את הצו שניתן במסגרת הבקשה הראשונה וכי אפילו אמנם נשלח חוקר מטעם המשיב אל המבקש, הרי שלא היה זה אלא לצורך הדיפת טענותיו העולות במסגרת תביעה כספית שהגיש נגד המשיב.</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המבקש לא השלים עם החלטת בית המשפט קמא ומכאן ערעורו הנדון.</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b/>
          <w:bCs/>
          <w:noProof w:val="0"/>
          <w:u w:val="single"/>
          <w:rtl/>
        </w:rPr>
      </w:pPr>
      <w:r w:rsidRPr="00061543">
        <w:rPr>
          <w:rFonts w:ascii="Arial" w:hAnsi="Arial" w:hint="cs"/>
          <w:b/>
          <w:bCs/>
          <w:noProof w:val="0"/>
          <w:u w:val="single"/>
          <w:rtl/>
        </w:rPr>
        <w:t>עיקרי טענות המבקש בערעור</w:t>
      </w:r>
    </w:p>
    <w:p w:rsidR="00061543" w:rsidRPr="00061543" w:rsidRDefault="00061543" w:rsidP="00061543">
      <w:pPr>
        <w:spacing w:line="360" w:lineRule="auto"/>
        <w:jc w:val="both"/>
        <w:rPr>
          <w:rFonts w:ascii="Arial" w:hAnsi="Arial"/>
          <w:noProof w:val="0"/>
          <w:sz w:val="16"/>
          <w:szCs w:val="16"/>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5.</w:t>
      </w:r>
      <w:r w:rsidRPr="00061543">
        <w:rPr>
          <w:rFonts w:ascii="Arial" w:hAnsi="Arial" w:hint="cs"/>
          <w:noProof w:val="0"/>
          <w:rtl/>
        </w:rPr>
        <w:tab/>
        <w:t xml:space="preserve">נימוקי ערעורו של המבקש, בתמצית, הם כי בית המשפט קמא התעלם ממצבו הנפשי של המבקש, לא עיין בחוות דעת מומחים, לא הבין את משמעות הסיכון הנשקף מהמשיב ולא ביטל את ההדדיות שנקבעה בצו המקורי. בנוסף נטען, כי בית המשפט קמא לא קיבל את נימוקי בקשת </w:t>
      </w:r>
      <w:r w:rsidRPr="00061543">
        <w:rPr>
          <w:rFonts w:ascii="Arial" w:hAnsi="Arial" w:hint="cs"/>
          <w:noProof w:val="0"/>
          <w:rtl/>
        </w:rPr>
        <w:lastRenderedPageBreak/>
        <w:t xml:space="preserve">המבקש להחמרת תנאי הצו, אשר לפיהם החמרה זו נדרשת בשל כך שביום 25.7.2023 צפוי המשיב לסיים את עבודות השירות שהושתו עליו בגזר הדין בהליך הפלילי. כן טען המבקש, כי המשיב הפר את צו ההרחקה וכי לא התקבלה בקשתו להרחקת המשיב ממקומות נוספים מסוימים, כפי שפירט בערעורו. בעיקר הלין המבקש על כך שכיום המשיב </w:t>
      </w:r>
      <w:r w:rsidRPr="00061543">
        <w:rPr>
          <w:rFonts w:ascii="Arial" w:hAnsi="Arial" w:hint="cs"/>
          <w:b/>
          <w:bCs/>
          <w:noProof w:val="0"/>
          <w:rtl/>
        </w:rPr>
        <w:t>"חופשי ומאושר"</w:t>
      </w:r>
      <w:r w:rsidRPr="00061543">
        <w:rPr>
          <w:rFonts w:ascii="Arial" w:hAnsi="Arial" w:hint="cs"/>
          <w:noProof w:val="0"/>
          <w:rtl/>
        </w:rPr>
        <w:t xml:space="preserve"> וכי לא ניתן משקל מספיק למצבו הנטען של המבקש כמפורט בערעור וכי אף לא נקבעה ערובה כלשהי להבטחת קיומו של הצו.</w:t>
      </w:r>
    </w:p>
    <w:p w:rsidR="00061543" w:rsidRPr="00061543" w:rsidRDefault="00061543" w:rsidP="00061543">
      <w:pPr>
        <w:spacing w:line="360" w:lineRule="auto"/>
        <w:jc w:val="both"/>
        <w:rPr>
          <w:rFonts w:ascii="Arial" w:hAnsi="Arial"/>
          <w:noProof w:val="0"/>
          <w:rtl/>
        </w:rPr>
      </w:pPr>
    </w:p>
    <w:p w:rsidR="00061543" w:rsidRPr="00061543" w:rsidRDefault="00061543" w:rsidP="00D40959">
      <w:pPr>
        <w:spacing w:line="360" w:lineRule="auto"/>
        <w:jc w:val="both"/>
        <w:rPr>
          <w:rFonts w:ascii="Arial" w:hAnsi="Arial"/>
          <w:noProof w:val="0"/>
          <w:rtl/>
        </w:rPr>
      </w:pPr>
      <w:r w:rsidRPr="00061543">
        <w:rPr>
          <w:rFonts w:ascii="Arial" w:hAnsi="Arial" w:hint="cs"/>
          <w:noProof w:val="0"/>
          <w:rtl/>
        </w:rPr>
        <w:t>6.</w:t>
      </w:r>
      <w:r w:rsidRPr="00061543">
        <w:rPr>
          <w:rFonts w:ascii="Arial" w:hAnsi="Arial" w:hint="cs"/>
          <w:noProof w:val="0"/>
          <w:rtl/>
        </w:rPr>
        <w:tab/>
        <w:t xml:space="preserve">ההליך בבית המשפט קמא התנהל רק נגד המשיב. משום מה כלל המבקש </w:t>
      </w:r>
      <w:r>
        <w:rPr>
          <w:rFonts w:ascii="Arial" w:hAnsi="Arial" w:hint="cs"/>
          <w:noProof w:val="0"/>
          <w:rtl/>
        </w:rPr>
        <w:t>בערעור עוד שלושה משיבים</w:t>
      </w:r>
      <w:r w:rsidRPr="00061543">
        <w:rPr>
          <w:rFonts w:ascii="Arial" w:hAnsi="Arial" w:hint="cs"/>
          <w:noProof w:val="0"/>
          <w:rtl/>
        </w:rPr>
        <w:t xml:space="preserve"> (תחנת המשטרה בבית שמש; האגף לרישוי כלי נשק במשרד הרישוי; מפקדת קצין משטרה צבאית בצה"ל)</w:t>
      </w:r>
      <w:r w:rsidR="00D40959">
        <w:rPr>
          <w:rFonts w:ascii="Arial" w:hAnsi="Arial" w:hint="cs"/>
          <w:noProof w:val="0"/>
          <w:rtl/>
        </w:rPr>
        <w:t xml:space="preserve">, אשר נמחקו </w:t>
      </w:r>
      <w:r w:rsidRPr="00061543">
        <w:rPr>
          <w:rFonts w:ascii="Arial" w:hAnsi="Arial" w:hint="cs"/>
          <w:noProof w:val="0"/>
          <w:rtl/>
        </w:rPr>
        <w:t xml:space="preserve">מאחר </w:t>
      </w:r>
      <w:r w:rsidR="00D40959">
        <w:rPr>
          <w:rFonts w:ascii="Arial" w:hAnsi="Arial" w:hint="cs"/>
          <w:noProof w:val="0"/>
          <w:rtl/>
        </w:rPr>
        <w:t xml:space="preserve">שלא היו בעלי דין </w:t>
      </w:r>
      <w:r w:rsidRPr="00061543">
        <w:rPr>
          <w:rFonts w:ascii="Arial" w:hAnsi="Arial" w:hint="cs"/>
          <w:noProof w:val="0"/>
          <w:rtl/>
        </w:rPr>
        <w:t>בהליך שנדון לפני הערכאה הראשונה (תקנה 136(א) בתקנות סדר הדין האזרחי).</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b/>
          <w:bCs/>
          <w:noProof w:val="0"/>
          <w:u w:val="single"/>
          <w:rtl/>
        </w:rPr>
      </w:pPr>
      <w:r w:rsidRPr="00061543">
        <w:rPr>
          <w:rFonts w:ascii="Arial" w:hAnsi="Arial" w:hint="cs"/>
          <w:b/>
          <w:bCs/>
          <w:noProof w:val="0"/>
          <w:u w:val="single"/>
          <w:rtl/>
        </w:rPr>
        <w:t>דיון והכרעה</w:t>
      </w:r>
    </w:p>
    <w:p w:rsidR="00061543" w:rsidRPr="00D40959" w:rsidRDefault="00061543" w:rsidP="00061543">
      <w:pPr>
        <w:spacing w:line="360" w:lineRule="auto"/>
        <w:jc w:val="both"/>
        <w:rPr>
          <w:rFonts w:ascii="Arial" w:hAnsi="Arial"/>
          <w:noProof w:val="0"/>
          <w:sz w:val="16"/>
          <w:szCs w:val="16"/>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7.</w:t>
      </w:r>
      <w:r w:rsidRPr="00061543">
        <w:rPr>
          <w:rFonts w:ascii="Arial" w:hAnsi="Arial" w:hint="cs"/>
          <w:noProof w:val="0"/>
          <w:rtl/>
        </w:rPr>
        <w:tab/>
        <w:t>נקדים ונעיר כי גזר הדין לא צורף, אך אין מחלוקת על כך שהמשיב הורשע בעבירת מין שעבר כלפי המבקש בשנת 2008, שבעטיה נדון לעונש מאסר בעבודות שירות, שהסתיים זה מקרוב. אכן, ניתן להבין ללבו של המבקש ולכאבו בהיותו מי שנפגע מהעבירה ואף אין להקל ראש בכל עבירת מין באשר היא, אשר אין צורך להכביר מילים על חומרתה. עם זאת, יש להניח כי העונש המקל יחסית נקבע בהתחשב בחלוף הזמן ובדרגת חומרת העבירה.</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8.</w:t>
      </w:r>
      <w:r w:rsidRPr="00061543">
        <w:rPr>
          <w:rFonts w:ascii="Arial" w:hAnsi="Arial" w:hint="cs"/>
          <w:noProof w:val="0"/>
          <w:rtl/>
        </w:rPr>
        <w:tab/>
        <w:t xml:space="preserve">מכל מקום, חשוב להדגיש כי צו הרחקה שניתן מכוח חוק מניעת הטרדה לא נועד לשמש עונש וככלל, יש לתת את הצו רק אם התקיימו התנאים למתן הצו. שכן כידוע, </w:t>
      </w:r>
      <w:r w:rsidRPr="00061543">
        <w:rPr>
          <w:rFonts w:ascii="Arial" w:hAnsi="Arial" w:hint="cs"/>
          <w:b/>
          <w:bCs/>
          <w:noProof w:val="0"/>
          <w:rtl/>
        </w:rPr>
        <w:t>"צו מניעת הטרדה מאיימת פוגע בזכויות אדם ואינו עניין דיוני גרידא: צו מניעת הטרדה מאיימת מגביל זכויות יסוד בסיסיות של הפרט כמו חופש התנועה, זכות הקניין, חופש הביטוי, הזכות לחירות ולאוטונומיה"</w:t>
      </w:r>
      <w:r w:rsidRPr="00061543">
        <w:rPr>
          <w:rFonts w:ascii="Arial" w:hAnsi="Arial" w:hint="cs"/>
          <w:noProof w:val="0"/>
          <w:rtl/>
        </w:rPr>
        <w:t xml:space="preserve"> (רע"א 2327/11 </w:t>
      </w:r>
      <w:r w:rsidRPr="00061543">
        <w:rPr>
          <w:rFonts w:ascii="Arial" w:hAnsi="Arial" w:hint="cs"/>
          <w:b/>
          <w:bCs/>
          <w:noProof w:val="0"/>
          <w:rtl/>
        </w:rPr>
        <w:t>פלוני נ' פלוני</w:t>
      </w:r>
      <w:r w:rsidRPr="00061543">
        <w:rPr>
          <w:rFonts w:ascii="Arial" w:hAnsi="Arial" w:hint="cs"/>
          <w:noProof w:val="0"/>
          <w:rtl/>
        </w:rPr>
        <w:t xml:space="preserve"> (28.4.2011)‏, פסקה 24, כבוד השופט י' דנציגר).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תכליתו של הצו היא כאמור בסעיף 1 בחוק מניעת הטרדה (סעיף ה</w:t>
      </w:r>
      <w:r w:rsidRPr="00061543">
        <w:rPr>
          <w:rFonts w:ascii="Arial" w:hAnsi="Arial" w:hint="cs"/>
          <w:b/>
          <w:bCs/>
          <w:noProof w:val="0"/>
          <w:rtl/>
        </w:rPr>
        <w:t>"מטרה"</w:t>
      </w:r>
      <w:r w:rsidRPr="00061543">
        <w:rPr>
          <w:rFonts w:ascii="Arial" w:hAnsi="Arial" w:hint="cs"/>
          <w:noProof w:val="0"/>
          <w:rtl/>
        </w:rPr>
        <w:t xml:space="preserve">), </w:t>
      </w:r>
      <w:r w:rsidRPr="00061543">
        <w:rPr>
          <w:rFonts w:ascii="Arial" w:hAnsi="Arial" w:hint="cs"/>
          <w:b/>
          <w:bCs/>
          <w:noProof w:val="0"/>
          <w:rtl/>
        </w:rPr>
        <w:t>"להגן על אדם מפני פגיעה בשלוות חייו, בפרטיותו, בחירותו או בגופו בידי אדם אחר שנקט נגדו הטרדה מאיימת או שפגע בגופו"</w:t>
      </w:r>
      <w:r w:rsidRPr="00061543">
        <w:rPr>
          <w:rFonts w:ascii="Arial" w:hAnsi="Arial" w:hint="cs"/>
          <w:noProof w:val="0"/>
          <w:rtl/>
        </w:rPr>
        <w:t xml:space="preserve">. עוד נקבע בסעיף 2(א), שכותרתו </w:t>
      </w:r>
      <w:r w:rsidRPr="00061543">
        <w:rPr>
          <w:rFonts w:ascii="Arial" w:hAnsi="Arial" w:hint="cs"/>
          <w:b/>
          <w:bCs/>
          <w:noProof w:val="0"/>
          <w:rtl/>
        </w:rPr>
        <w:t>"הטרדה מאיימת – מהי?"</w:t>
      </w:r>
      <w:r w:rsidRPr="00061543">
        <w:rPr>
          <w:rFonts w:ascii="Arial" w:hAnsi="Arial" w:hint="cs"/>
          <w:noProof w:val="0"/>
          <w:rtl/>
        </w:rPr>
        <w:t xml:space="preserve">, כי </w:t>
      </w:r>
      <w:r w:rsidRPr="00061543">
        <w:rPr>
          <w:rFonts w:ascii="Arial" w:hAnsi="Arial" w:hint="cs"/>
          <w:b/>
          <w:bCs/>
          <w:noProof w:val="0"/>
          <w:rtl/>
        </w:rPr>
        <w:t xml:space="preserve">"הטרדה מאיימת היא הטרדתו של אדם בידי אחר בכל דרך שהיא או נקיטת איומים כלפיו, </w:t>
      </w:r>
      <w:r w:rsidRPr="00061543">
        <w:rPr>
          <w:rFonts w:ascii="Arial" w:hAnsi="Arial" w:hint="cs"/>
          <w:b/>
          <w:bCs/>
          <w:noProof w:val="0"/>
          <w:u w:val="single"/>
          <w:rtl/>
        </w:rPr>
        <w:t>בנסיבות הנותנות בסיס סביר להניח כי המטריד או המאיים עלול לשוב ולפגוע</w:t>
      </w:r>
      <w:r w:rsidRPr="00061543">
        <w:rPr>
          <w:rFonts w:ascii="Arial" w:hAnsi="Arial" w:hint="cs"/>
          <w:b/>
          <w:bCs/>
          <w:noProof w:val="0"/>
          <w:rtl/>
        </w:rPr>
        <w:t xml:space="preserve"> בשלוות חייו, בפרטיותו או בחירותו של האדם או כי הוא עלול לפגוע בגופו"</w:t>
      </w:r>
      <w:r w:rsidRPr="00061543">
        <w:rPr>
          <w:rFonts w:ascii="Arial" w:hAnsi="Arial" w:hint="cs"/>
          <w:noProof w:val="0"/>
          <w:rtl/>
        </w:rPr>
        <w:t xml:space="preserve">. כן נקבע כי הטרדה מאיימת יכול שתהא באחת הדרכים המנויות בסעיף 2(ב), וכי כאמור בסעיף 2(ג), </w:t>
      </w:r>
      <w:r w:rsidRPr="00061543">
        <w:rPr>
          <w:rFonts w:ascii="Arial" w:hAnsi="Arial" w:hint="cs"/>
          <w:b/>
          <w:bCs/>
          <w:noProof w:val="0"/>
          <w:rtl/>
        </w:rPr>
        <w:t>"אחת היא אם המעשים... נעשו כלפי אדם או כלפי אדם אחר הקרוב לו, בין במפורש ובין במשתמע, בין במישרין ובין בעקיפין"</w:t>
      </w:r>
      <w:r w:rsidRPr="00061543">
        <w:rPr>
          <w:rFonts w:ascii="Arial" w:hAnsi="Arial" w:hint="cs"/>
          <w:noProof w:val="0"/>
          <w:rtl/>
        </w:rPr>
        <w:t>.</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9.</w:t>
      </w:r>
      <w:r w:rsidRPr="00061543">
        <w:rPr>
          <w:rFonts w:ascii="Arial" w:hAnsi="Arial" w:hint="cs"/>
          <w:noProof w:val="0"/>
          <w:rtl/>
        </w:rPr>
        <w:tab/>
        <w:t xml:space="preserve">חרף כל טענותיו של המבקש, בפועל וכפי שנקבע בהחלטות הקודמות שפורטו, לא עלה בידיו לבסס את בקשתו למתן צו לפי חוק מניעת הטרדה. לא עלה בידיו להראות כי המשיב אמנם </w:t>
      </w:r>
      <w:r w:rsidRPr="00061543">
        <w:rPr>
          <w:rFonts w:ascii="Arial" w:hAnsi="Arial" w:hint="cs"/>
          <w:noProof w:val="0"/>
          <w:rtl/>
        </w:rPr>
        <w:lastRenderedPageBreak/>
        <w:t xml:space="preserve">עשה את אחד המעשים המנויים בסעיף 2 בחוק מניעת הטרדה והוא אף כלל לא הראה כי מתקיימות </w:t>
      </w:r>
      <w:r w:rsidRPr="00061543">
        <w:rPr>
          <w:rFonts w:ascii="Arial" w:hAnsi="Arial" w:hint="cs"/>
          <w:b/>
          <w:bCs/>
          <w:noProof w:val="0"/>
          <w:rtl/>
        </w:rPr>
        <w:t>"נסיבות הנותנות בסיס סביר להניח"</w:t>
      </w:r>
      <w:r w:rsidRPr="00061543">
        <w:rPr>
          <w:rFonts w:ascii="Arial" w:hAnsi="Arial" w:hint="cs"/>
          <w:noProof w:val="0"/>
          <w:rtl/>
        </w:rPr>
        <w:t xml:space="preserve"> כי המשיב עלול לשוב ולפגוע בו באחת הדרכים המנויה בסעיף זה. לא זו בלבד, אלא שכבר בהחלטה בעניין הבקשה הראשונה נקבע כי מאז שנת 2008, זה כחמש-עשרה שנה, לא היה כל קשר בין המשיב לבין המבקש. טענותיו של המבקש המבקשות לסתור זאת וכך גם טענותיו בדבר הפרת צו ההרחקה מצד המשיב, לא נתמכו בדבר ומכל מקום, לא התקבלו בבית המשפט קמא. דומה אפוא, כי בצדק ראה לנכון בית המשפט שדן בבקשה הראשונה להוסיף, כי כאמור, </w:t>
      </w:r>
      <w:r w:rsidRPr="00061543">
        <w:rPr>
          <w:rFonts w:ascii="Arial" w:hAnsi="Arial" w:hint="cs"/>
          <w:b/>
          <w:bCs/>
          <w:noProof w:val="0"/>
          <w:rtl/>
        </w:rPr>
        <w:t>"במצב רגיל ואלמלא הרשעת המשיב ומצבו הנפשי הרגיש של המבקש, היה מקום לשקול לדחות את הבקשה"</w:t>
      </w:r>
      <w:r w:rsidRPr="00061543">
        <w:rPr>
          <w:rFonts w:ascii="Arial" w:hAnsi="Arial" w:hint="cs"/>
          <w:noProof w:val="0"/>
          <w:rtl/>
        </w:rPr>
        <w:t xml:space="preserve">.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עוד עולה, כי כך סבר גם בית המשפט קמא בהחלטתו בעניין הבקשה השנייה, שעליה מערער המבקש. אף עולה כי אלמלא הסכמת המשיב להותרת הצו על כנו, ללא שינויים, ספק אם בקשת המבקש הייתה מתקבלת.</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10.</w:t>
      </w:r>
      <w:r w:rsidRPr="00061543">
        <w:rPr>
          <w:rFonts w:ascii="Arial" w:hAnsi="Arial" w:hint="cs"/>
          <w:noProof w:val="0"/>
          <w:rtl/>
        </w:rPr>
        <w:tab/>
        <w:t xml:space="preserve">נמצא אם כן, כי בנסיבות הנדונות לא התקיימו התנאים המצדיקים מתן צו לפי חוק מניעת הטרדה וכי אלמלא הסכמת המשיב להותרת הצו, לא היה מקום להותירו על כנו. שכן, משתי ההחלטות שניתנו בעניין שתי בקשותיו של המבקש עולה באופן מובהק כי בפועל, לא התקיימו הנסיבות המצדיקות את מתן צו ההרחקה. </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המשיב הועמד לדין על העבירה שעבר ונשא בעונש שהשית עליו בית המשפט. כפי שנאמר בהחלטה בעניין הבקשה הראשונה, אין מחלוקת על כך שלא ניתן בעניינו של המשיב צו פיקוח מכוח חוק הגנה על הציבור. בנסיבות אלו, אף יש להניח כי לא ניתן צו מכוח חוק זה, מהטעם שלא התבקש וכי לא התבקש מהטעם שלא התקיימו הנסיבות המצדיקות את נתינתו. לפיכך וכאמור, די בכך שהמבקש לא הצליח לבסס את טענותיו בדבר התקיימות התנאים המצדיקים מתן צו מכוח חוק מניעת הטרדה כדי שניתן היה לדחות את בקשתו. אף ספק אם היה מקום למתן הצו שניתן.</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די אפוא, בכך כדי לדחות את הערעור ללא צורך בתגובת המשיב.</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11.</w:t>
      </w:r>
      <w:r w:rsidRPr="00061543">
        <w:rPr>
          <w:rFonts w:ascii="Arial" w:hAnsi="Arial" w:hint="cs"/>
          <w:noProof w:val="0"/>
          <w:rtl/>
        </w:rPr>
        <w:tab/>
        <w:t xml:space="preserve">למעלה מהדרוש ראיתי לנכון להוסיף, כי העובדה שלפיה ישנו ספק אם מלכתחילה היה מקום למתן צו נגד המשיב מכוח חוק מניעת הטרדה, נעוץ בכך שבפועל, נעשה להסתייע בחוק זה – שכאמור, נקבע כי בנסיבות הנדונות לא התקיימו התנאים למתן צו – תוך עקיפת הוראות הדין הייחודיות הקבועות לשם הגנה על קורבן עבירת מין. אמנם נראה כי לא היה מקום למתן צו מחוק הגנה על הציבור, אך מלכתחילה המסגרת המתאימה לבקשותיו של המבקש אינה חוק מניעת הטרדה, אלא חוק מגבלות על חזרתו של עבריין מין לסביבת נפגע העבירה, התשס"ה-2004 (להלן – </w:t>
      </w:r>
      <w:r w:rsidRPr="00061543">
        <w:rPr>
          <w:rFonts w:ascii="Arial" w:hAnsi="Arial" w:hint="cs"/>
          <w:b/>
          <w:bCs/>
          <w:noProof w:val="0"/>
          <w:rtl/>
        </w:rPr>
        <w:t>חוק מגבלות על עבריין מין</w:t>
      </w:r>
      <w:r w:rsidRPr="00061543">
        <w:rPr>
          <w:rFonts w:ascii="Arial" w:hAnsi="Arial" w:hint="cs"/>
          <w:noProof w:val="0"/>
          <w:rtl/>
        </w:rPr>
        <w:t>). עם זאת, לנוכח כלל הוראותיו, ספק אם בשלב הנוכחי עדיין יכול המבקש לעתור לקבלת סעד מכוחו.</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lastRenderedPageBreak/>
        <w:t>מכל מקום, המחוקק קבע שורה של כלים אשר נועדו להגן על קורבן עבירת מין מפני עבריין המין שפגע בו. אולם אם לא ניתן ליישם את אחד מאותם כלים נרחבים שנקבעו בהוראות חוק ייעודיות – ואיני נוקטת כל עמדה בעניין זה – ואף נמצא כי לא התקיימו התנאים למתן צו הרחקה מכוח צו מניעת הטרדה, ספק אם ישנה הצדקה לעקיפת כל אותן הוראות דין ייחודיות באמצעות חוק זה.</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12.</w:t>
      </w:r>
      <w:r w:rsidRPr="00061543">
        <w:rPr>
          <w:rFonts w:ascii="Arial" w:hAnsi="Arial" w:hint="cs"/>
          <w:noProof w:val="0"/>
          <w:rtl/>
        </w:rPr>
        <w:tab/>
        <w:t>כך או אחרת וכאמור, אלמלא הסכמת המשיב, נראה כי לא היה מקום למתן צו ההרחקה מלכתחילה. לפיכך ומכל הטעמים שנקבעו בהחלטות הקודמות ואלו שהובאו לעיל, אין מקום לקבלת הערעור ולשינוי הצו שניתן בבית המשפט קמא.</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הערעור נגד המשיב (שסומן כמשיב 4) נדחה. הערעור נגד המשיבים 3-1 נמחק כאמור בפסקה 6 לעיל.</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המזכירות תמציא את פסק הדין אל שני הצדדים.</w:t>
      </w:r>
    </w:p>
    <w:p w:rsidR="00061543" w:rsidRPr="00061543" w:rsidRDefault="00061543" w:rsidP="00061543">
      <w:pPr>
        <w:spacing w:line="360" w:lineRule="auto"/>
        <w:jc w:val="both"/>
        <w:rPr>
          <w:rFonts w:ascii="Arial" w:hAnsi="Arial"/>
          <w:noProof w:val="0"/>
          <w:rtl/>
        </w:rPr>
      </w:pPr>
    </w:p>
    <w:p w:rsidR="00061543" w:rsidRPr="00061543" w:rsidRDefault="00061543" w:rsidP="00061543">
      <w:pPr>
        <w:spacing w:line="360" w:lineRule="auto"/>
        <w:jc w:val="both"/>
        <w:rPr>
          <w:rFonts w:ascii="Arial" w:hAnsi="Arial"/>
          <w:noProof w:val="0"/>
          <w:rtl/>
        </w:rPr>
      </w:pPr>
      <w:r w:rsidRPr="00061543">
        <w:rPr>
          <w:rFonts w:ascii="Arial" w:hAnsi="Arial" w:hint="cs"/>
          <w:noProof w:val="0"/>
          <w:rtl/>
        </w:rPr>
        <w:t>בהיעדר פרטים מזהים, אין מניעה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Pr>
          <w:rFonts w:ascii="Arial" w:hAnsi="Arial"/>
          <w:noProof w:val="0"/>
          <w:rtl/>
        </w:rPr>
        <w:t xml:space="preserve">כ"ד </w:t>
      </w:r>
      <w:r w:rsidR="00D40959">
        <w:rPr>
          <w:rFonts w:ascii="Arial" w:hAnsi="Arial" w:hint="cs"/>
          <w:noProof w:val="0"/>
          <w:rtl/>
        </w:rPr>
        <w:t>ב</w:t>
      </w:r>
      <w:r>
        <w:rPr>
          <w:rFonts w:ascii="Arial" w:hAnsi="Arial"/>
          <w:noProof w:val="0"/>
          <w:rtl/>
        </w:rPr>
        <w:t>אב תשפ"ג</w:t>
      </w:r>
      <w:r w:rsidR="00005C8B">
        <w:rPr>
          <w:rFonts w:ascii="Arial" w:hAnsi="Arial"/>
          <w:noProof w:val="0"/>
          <w:rtl/>
        </w:rPr>
        <w:t xml:space="preserve">, </w:t>
      </w:r>
      <w:r>
        <w:rPr>
          <w:rFonts w:ascii="Arial" w:hAnsi="Arial"/>
          <w:noProof w:val="0"/>
          <w:rtl/>
        </w:rPr>
        <w:t xml:space="preserve">11 </w:t>
      </w:r>
      <w:r w:rsidR="00D40959">
        <w:rPr>
          <w:rFonts w:ascii="Arial" w:hAnsi="Arial" w:hint="cs"/>
          <w:noProof w:val="0"/>
          <w:rtl/>
        </w:rPr>
        <w:t>ב</w:t>
      </w:r>
      <w:r>
        <w:rPr>
          <w:rFonts w:ascii="Arial" w:hAnsi="Arial"/>
          <w:noProof w:val="0"/>
          <w:rtl/>
        </w:rPr>
        <w:t>אוגוסט 2023</w:t>
      </w:r>
      <w:r w:rsidR="00005C8B">
        <w:rPr>
          <w:rFonts w:ascii="Arial" w:hAnsi="Arial"/>
          <w:noProof w:val="0"/>
          <w:rtl/>
        </w:rPr>
        <w:t>, בה</w:t>
      </w:r>
      <w:r w:rsidR="00D40959">
        <w:rPr>
          <w:rFonts w:ascii="Arial" w:hAnsi="Arial" w:hint="cs"/>
          <w:noProof w:val="0"/>
          <w:rtl/>
        </w:rPr>
        <w:t>י</w:t>
      </w:r>
      <w:r w:rsidR="00005C8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D40959" w:rsidTr="002E4F6C">
        <w:trPr>
          <w:jc w:val="right"/>
        </w:trPr>
        <w:tc>
          <w:tcPr>
            <w:tcW w:w="2392" w:type="dxa"/>
            <w:tcBorders>
              <w:top w:val="nil"/>
              <w:left w:val="nil"/>
              <w:bottom w:val="single" w:sz="4" w:space="0" w:color="auto"/>
              <w:right w:val="nil"/>
            </w:tcBorders>
            <w:vAlign w:val="center"/>
          </w:tcPr>
          <w:p w:rsidR="00D40959" w:rsidRDefault="00D40959" w:rsidP="004A1D17">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D40959" w:rsidTr="002E4F6C">
        <w:trPr>
          <w:jc w:val="right"/>
        </w:trPr>
        <w:tc>
          <w:tcPr>
            <w:tcW w:w="2392" w:type="dxa"/>
            <w:tcBorders>
              <w:top w:val="single" w:sz="4" w:space="0" w:color="auto"/>
              <w:left w:val="nil"/>
              <w:bottom w:val="nil"/>
              <w:right w:val="nil"/>
            </w:tcBorders>
          </w:tcPr>
          <w:p w:rsidR="00D40959" w:rsidRDefault="00D40959" w:rsidP="00E767EE">
            <w:pPr>
              <w:pStyle w:val="3"/>
              <w:spacing w:before="40" w:after="40" w:line="240" w:lineRule="auto"/>
              <w:jc w:val="center"/>
              <w:outlineLvl w:val="2"/>
              <w:rPr>
                <w:sz w:val="28"/>
                <w:rtl/>
              </w:rPr>
            </w:pPr>
            <w:r>
              <w:rPr>
                <w:rFonts w:hint="cs"/>
                <w:sz w:val="28"/>
                <w:rtl/>
              </w:rPr>
              <w:t>תמר בר-אשר, שופטת</w:t>
            </w:r>
          </w:p>
        </w:tc>
      </w:tr>
    </w:tbl>
    <w:p w:rsidR="00D40959" w:rsidRDefault="00D40959">
      <w:pPr>
        <w:jc w:val="center"/>
        <w:rPr>
          <w:rtl/>
        </w:rPr>
      </w:pPr>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0D7" w:rsidRDefault="006340D7">
      <w:r>
        <w:separator/>
      </w:r>
    </w:p>
  </w:endnote>
  <w:endnote w:type="continuationSeparator" w:id="0">
    <w:p w:rsidR="006340D7" w:rsidRDefault="0063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59F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59FA">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0D7" w:rsidRDefault="006340D7">
      <w:r>
        <w:separator/>
      </w:r>
    </w:p>
  </w:footnote>
  <w:footnote w:type="continuationSeparator" w:id="0">
    <w:p w:rsidR="006340D7" w:rsidRDefault="0063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061543">
      <w:trPr>
        <w:trHeight w:hRule="exact" w:val="568"/>
        <w:jc w:val="center"/>
      </w:trPr>
      <w:sdt>
        <w:sdtPr>
          <w:rPr>
            <w:rFonts w:ascii="Tahoma" w:hAnsi="Tahoma"/>
            <w:color w:val="000080"/>
            <w:sz w:val="30"/>
            <w:szCs w:val="30"/>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061543">
                <w:rPr>
                  <w:rFonts w:ascii="Tahoma" w:hAnsi="Tahoma"/>
                  <w:color w:val="000080"/>
                  <w:sz w:val="30"/>
                  <w:szCs w:val="30"/>
                  <w:rtl/>
                </w:rPr>
                <w:t>בית המשפט המחוזי בירושלים בשבתו כבית-משפט לערעורים אזרחיים</w:t>
              </w:r>
            </w:p>
          </w:tc>
        </w:sdtContent>
      </w:sdt>
    </w:tr>
    <w:tr w:rsidR="00694556" w:rsidTr="00061543">
      <w:trPr>
        <w:trHeight w:val="337"/>
        <w:jc w:val="center"/>
      </w:trPr>
      <w:tc>
        <w:tcPr>
          <w:tcW w:w="8307" w:type="dxa"/>
        </w:tcPr>
        <w:p w:rsidR="007D45E3" w:rsidRDefault="006340D7" w:rsidP="0006154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23876-08-23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w:t>
              </w:r>
              <w:r w:rsidR="00061543">
                <w:rPr>
                  <w:rFonts w:hint="cs"/>
                  <w:b/>
                  <w:bCs/>
                  <w:noProof w:val="0"/>
                  <w:sz w:val="26"/>
                  <w:szCs w:val="26"/>
                  <w:rtl/>
                </w:rPr>
                <w:t>לוני</w:t>
              </w:r>
              <w:r w:rsidR="00B859C5">
                <w:rPr>
                  <w:b/>
                  <w:bCs/>
                  <w:noProof w:val="0"/>
                  <w:sz w:val="26"/>
                  <w:szCs w:val="26"/>
                  <w:rtl/>
                </w:rPr>
                <w:t xml:space="preserve"> נ' </w:t>
              </w:r>
              <w:r w:rsidR="00061543">
                <w:rPr>
                  <w:rFonts w:hint="cs"/>
                  <w:b/>
                  <w:bCs/>
                  <w:noProof w:val="0"/>
                  <w:sz w:val="26"/>
                  <w:szCs w:val="26"/>
                  <w:rtl/>
                </w:rPr>
                <w:t>אלמוני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076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07655&amp;lt;/CaseID&amp;gt;_x000d__x000a_        &amp;lt;CaseMonth&amp;gt;8&amp;lt;/CaseMonth&amp;gt;_x000d__x000a_        &amp;lt;CaseYear&amp;gt;2023&amp;lt;/CaseYear&amp;gt;_x000d__x000a_        &amp;lt;CaseNumber&amp;gt;23876&amp;lt;/CaseNumber&amp;gt;_x000d__x000a_        &amp;lt;NumeratorGroupID&amp;gt;1&amp;lt;/NumeratorGroupID&amp;gt;_x000d__x000a_        &amp;lt;CaseName&amp;gt;פוזנר נ&amp;#39; תחנת משטרה - בית שמש ואח&amp;#39;&amp;lt;/CaseName&amp;gt;_x000d__x000a_        &amp;lt;CourtID&amp;gt;14&amp;lt;/CourtID&amp;gt;_x000d__x000a_        &amp;lt;CaseTypeID&amp;gt;10001&amp;lt;/CaseTypeID&amp;gt;_x000d__x000a_        &amp;lt;CaseInterestID&amp;gt;10435&amp;lt;/CaseInterestID&amp;gt;_x000d__x000a_        &amp;lt;CaseJudgeName&amp;gt;תמר בר-אשר&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876-08-23&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3-08-10T07:00:00+03:00&amp;lt;/CaseOpenDate&amp;gt;_x000d__x000a_        &amp;lt;PleaTypeID&amp;gt;6&amp;lt;/PleaTypeID&amp;gt;_x000d__x000a_        &amp;lt;CourtLevelID&amp;gt;2&amp;lt;/CourtLevelID&amp;gt;_x000d__x000a_        &amp;lt;CourtLevelCaseTypeInterestID&amp;gt;1528&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07655&amp;lt;/CaseID&amp;gt;_x000d__x000a_        &amp;lt;CaseMonth&amp;gt;8&amp;lt;/CaseMonth&amp;gt;_x000d__x000a_        &amp;lt;CaseYear&amp;gt;2023&amp;lt;/CaseYear&amp;gt;_x000d__x000a_        &amp;lt;CaseNumber&amp;gt;23876&amp;lt;/CaseNumber&amp;gt;_x000d__x000a_        &amp;lt;NumeratorGroupID&amp;gt;1&amp;lt;/NumeratorGroupID&amp;gt;_x000d__x000a_        &amp;lt;CaseName&amp;gt;פוזנר נ&amp;#39; תחנת משטרה - בית שמש ואח&amp;#39;&amp;lt;/CaseName&amp;gt;_x000d__x000a_        &amp;lt;CourtID&amp;gt;14&amp;lt;/CourtID&amp;gt;_x000d__x000a_        &amp;lt;CaseTypeID&amp;gt;10001&amp;lt;/CaseTypeID&amp;gt;_x000d__x000a_        &amp;lt;CaseInterestID&amp;gt;10435&amp;lt;/CaseInterestID&amp;gt;_x000d__x000a_        &amp;lt;CaseJudgeName&amp;gt;תמר בר-אשר&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876-08-23&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3-08-10T07:00:00+03:00&amp;lt;/CaseOpenDate&amp;gt;_x000d__x000a_        &amp;lt;PleaTypeID&amp;gt;6&amp;lt;/PleaTypeID&amp;gt;_x000d__x000a_        &amp;lt;CourtLevelID&amp;gt;2&amp;lt;/CourtLevelID&amp;gt;_x000d__x000a_        &amp;lt;CourtLevelCaseTypeInterestID&amp;gt;1528&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1T13:35:11.4827251+03:00&amp;lt;/DecisionStatusChangeDate&amp;gt;_x000d__x000a_        &amp;lt;DecisionSignatureDate&amp;gt;2023-08-11T13:35:11.4827251+03:00&amp;lt;/DecisionSignatureDate&amp;gt;_x000d__x000a_        &amp;lt;DecisionSignatureUserID&amp;gt;059713420@GOV.IL&amp;lt;/DecisionSignatureUserID&amp;gt;_x000d__x000a_        &amp;lt;DecisionCreateDate&amp;gt;2023-08-11T13:35:11.4827251+03:00&amp;lt;/DecisionCreateDate&amp;gt;_x000d__x000a_        &amp;lt;DecisionChangeDate&amp;gt;2023-08-11T13:35:11.4827251+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0765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35"/>
    <w:docVar w:name="NGCS.TemplateCaseTypeID" w:val="10001"/>
    <w:docVar w:name="NGCS.TemplateCategoryID" w:val="80"/>
    <w:docVar w:name="NGCS.TemplateCourtID" w:val="14"/>
    <w:docVar w:name="NGCS.TemplateProceedingID" w:val="14"/>
    <w:docVar w:name="SelectedDocumentID" w:val="41908483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1543"/>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B59FA"/>
    <w:rsid w:val="004C17EE"/>
    <w:rsid w:val="004C4BDF"/>
    <w:rsid w:val="004D1187"/>
    <w:rsid w:val="004D3AA0"/>
    <w:rsid w:val="004E1987"/>
    <w:rsid w:val="004E2E15"/>
    <w:rsid w:val="004E6E3C"/>
    <w:rsid w:val="004F419B"/>
    <w:rsid w:val="00520898"/>
    <w:rsid w:val="00523621"/>
    <w:rsid w:val="00524986"/>
    <w:rsid w:val="005268F6"/>
    <w:rsid w:val="00534284"/>
    <w:rsid w:val="00547DB7"/>
    <w:rsid w:val="00557717"/>
    <w:rsid w:val="00576A86"/>
    <w:rsid w:val="005F4F09"/>
    <w:rsid w:val="00603F73"/>
    <w:rsid w:val="0061431B"/>
    <w:rsid w:val="00622BAA"/>
    <w:rsid w:val="006306CF"/>
    <w:rsid w:val="006340D7"/>
    <w:rsid w:val="00636A4A"/>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F31FA"/>
    <w:rsid w:val="00903896"/>
    <w:rsid w:val="00906F3D"/>
    <w:rsid w:val="0093377C"/>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750DA"/>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0959"/>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D40959"/>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D40959"/>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5021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B3BEF"/>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771F0"/>
    <w:rsid w:val="00B91FA3"/>
    <w:rsid w:val="00BE6557"/>
    <w:rsid w:val="00C11AC3"/>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3BE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B3BE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אוריאל פוזנר</FullName>
        <FirstName>אוריאל</FirstName>
        <LastName>פוזנר</LastName>
        <PartyPropertyName/>
        <AuthenticationTypeAndNumber>ת"ז 211348453</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259359807</CasePartyID>
        <PartyTypeID>1</PartyTypeID>
        <ActivityStatusID>1</ActivityStatusID>
        <PartyAliasID>5</PartyAliasID>
        <PartyAliasName>מערער</PartyAliasName>
        <OrdinalNumber>1</OrdinalNumber>
        <LegalEntityID>71387279</LegalEntityID>
        <CaseLegalEntityID>125519971</CaseLegalEntityID>
        <AuthenticationTypeID>1</AuthenticationTypeID>
        <AuthenticationTypeName>ת"ז</AuthenticationTypeName>
        <LegalEntityNumber>211348453</LegalEntityNumber>
        <IsMainPartyType>true</IsMainPartyType>
        <CaseDisplayIdentifier>23876-08-23</CaseDisplayIdentifier>
        <CaseTypeID>10001</CaseTypeID>
        <CaseTypeName>ערעור אזרחי (ע"א)</CaseTypeName>
        <CaseName>פוזנר נ' תחנת משטרה - בית שמש ואח'</CaseName>
        <FullAddress>הרב מבריסק 6 בית שמש </FullAddress>
        <MotionID>0</MotionID>
        <CasePleaID>0</CasePleaID>
        <FatherName>שלדון נילס</FatherName>
        <LinkedCaseID>0</LinkedCaseID>
        <PartyID>1</PartyID>
        <CasePartyCategoryID>2</CasePartyCategoryID>
        <LegalEntityAddressID>88120165</LegalEntityAddressID>
        <PleaTypeID>6</PleaTypeID>
        <GroupPartyAlias>מערערים</GroupPartyAlias>
        <IsConverted>false</IsConverted>
        <LegalEntityRegisteredNameID>5523016</LegalEntityRegisteredNameID>
        <LegalEntityNameID>95114563</LegalEntityNameID>
        <RepresentatedNamesOfAssistant/>
        <LegalEntityTypeID>1</LegalEntityTypeID>
        <IsVerdictExists>false</IsVerdictExists>
        <IsAsirAzir>false</IsAsirAzir>
        <IsPublicationProhibited>false</IsPublicationProhibited>
        <PublicationProhibitedFullName>אוריאל פוזנר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תחנת משטרה - בית שמש</FullName>
        <FirstName/>
        <LastName>תחנת משטרה - בית שמש</LastName>
        <PartyPropertyName/>
        <AuthenticationTypeAndNumber>תחנת משטרה 94</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259359808</CasePartyID>
        <PartyTypeID>1</PartyTypeID>
        <ActivityStatusID>1</ActivityStatusID>
        <PartyAliasID>4</PartyAliasID>
        <PartyAliasName>משיב</PartyAliasName>
        <OrdinalNumber>1</OrdinalNumber>
        <LegalEntityID>118</LegalEntityID>
        <CaseLegalEntityID>125519974</CaseLegalEntityID>
        <AuthenticationTypeID>38</AuthenticationTypeID>
        <AuthenticationTypeName>תחנת משטרה</AuthenticationTypeName>
        <LegalEntityNumber>94</LegalEntityNumber>
        <IsMainPartyType>true</IsMainPartyType>
        <CaseDisplayIdentifier>23876-08-23</CaseDisplayIdentifier>
        <CaseTypeID>10001</CaseTypeID>
        <CaseTypeName>ערעור אזרחי (ע"א)</CaseTypeName>
        <CaseName>פוזנר נ' תחנת משטרה - בית שמש ואח'</CaseName>
        <FullAddress/>
        <MotionID>0</MotionID>
        <CasePleaID>0</CasePleaID>
        <LinkedCaseID>0</LinkedCaseID>
        <PartyID>2</PartyID>
        <CasePartyCategoryID>2</CasePartyCategoryID>
        <PleaTypeID>6</PleaTypeID>
        <GroupPartyAlias>משיבים</GroupPartyAlias>
        <IsConverted>false</IsConverted>
        <LegalEntityNameID>92350073</LegalEntityNameID>
        <RepresentatedNamesOfAssistant/>
        <LegalEntityTypeID>14</LegalEntityTypeID>
        <IsVerdictExists>false</IsVerdictExists>
        <IsAsirAzir>false</IsAsirAzir>
        <IsPublicationProhibited>false</IsPublicationProhibited>
        <PublicationProhibitedFullName>תחנת משטרה - בית שמש</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259359809</CasePartyID>
        <PartyTypeID>1</PartyTypeID>
        <ActivityStatusID>1</ActivityStatusID>
        <PartyAliasID>4</PartyAliasID>
        <PartyAliasName>משיב</PartyAliasName>
        <OrdinalNumber>2</OrdinalNumber>
        <LegalEntityID>379235</LegalEntityID>
        <CaseLegalEntityID>125519972</CaseLegalEntityID>
        <AuthenticationTypeID>13</AuthenticationTypeID>
        <AuthenticationTypeName>משרדי ממשלה</AuthenticationTypeName>
        <LegalEntityNumber>500106215</LegalEntityNumber>
        <IsMainPartyType>true</IsMainPartyType>
        <CaseDisplayIdentifier>23876-08-23</CaseDisplayIdentifier>
        <CaseTypeID>10001</CaseTypeID>
        <CaseTypeName>ערעור אזרחי (ע"א)</CaseTypeName>
        <CaseName>פוזנר נ' תחנת משטרה - בית שמש ואח'</CaseName>
        <FullAddress>ת.ד. 18182 ירושלים </FullAddress>
        <MotionID>0</MotionID>
        <CasePleaID>0</CasePleaID>
        <LinkedCaseID>0</LinkedCaseID>
        <PartyID>2</PartyID>
        <CasePartyCategoryID>2</CasePartyCategoryID>
        <LegalEntityAddressID>87563735</LegalEntityAddressID>
        <PleaTypeID>6</PleaTypeID>
        <GroupPartyAlias>משיבים</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259359810</CasePartyID>
        <PartyTypeID>1</PartyTypeID>
        <ActivityStatusID>1</ActivityStatusID>
        <PartyAliasID>4</PartyAliasID>
        <PartyAliasName>משיב</PartyAliasName>
        <OrdinalNumber>3</OrdinalNumber>
        <LegalEntityID>379234</LegalEntityID>
        <CaseLegalEntityID>125519973</CaseLegalEntityID>
        <AuthenticationTypeID>13</AuthenticationTypeID>
        <AuthenticationTypeName>משרדי ממשלה</AuthenticationTypeName>
        <LegalEntityNumber>500106214</LegalEntityNumber>
        <IsMainPartyType>true</IsMainPartyType>
        <CaseDisplayIdentifier>23876-08-23</CaseDisplayIdentifier>
        <CaseTypeID>10001</CaseTypeID>
        <CaseTypeName>ערעור אזרחי (ע"א)</CaseTypeName>
        <CaseName>פוזנר נ' תחנת משטרה - בית שמש ואח'</CaseName>
        <FullAddress>יחידה 171 לידי מש"ק צווים  ד.צ. 02153</FullAddress>
        <MotionID>0</MotionID>
        <CasePleaID>0</CasePleaID>
        <LinkedCaseID>0</LinkedCaseID>
        <PartyID>2</PartyID>
        <CasePartyCategoryID>2</CasePartyCategoryID>
        <LegalEntityAddressID>79582971</LegalEntityAddressID>
        <PleaTypeID>6</PleaTypeID>
        <GroupPartyAlias>משיבים</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אושר זיסקינד</FullName>
        <FirstName>אושר</FirstName>
        <LastName>זיסקינד</LastName>
        <PartyPropertyName/>
        <AuthenticationTypeAndNumber>ת"ז 203080320</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259359811</CasePartyID>
        <PartyTypeID>1</PartyTypeID>
        <ActivityStatusID>1</ActivityStatusID>
        <PartyAliasID>4</PartyAliasID>
        <PartyAliasName>משיב</PartyAliasName>
        <OrdinalNumber>4</OrdinalNumber>
        <LegalEntityID>79671869</LegalEntityID>
        <CaseLegalEntityID>125519975</CaseLegalEntityID>
        <AuthenticationTypeID>1</AuthenticationTypeID>
        <AuthenticationTypeName>ת"ז</AuthenticationTypeName>
        <LegalEntityNumber>203080320</LegalEntityNumber>
        <IsMainPartyType>true</IsMainPartyType>
        <CaseDisplayIdentifier>23876-08-23</CaseDisplayIdentifier>
        <CaseTypeID>10001</CaseTypeID>
        <CaseTypeName>ערעור אזרחי (ע"א)</CaseTypeName>
        <CaseName>פוזנר נ' תחנת משטרה - בית שמש ואח'</CaseName>
        <FullAddress>באר שבע 4/1 בית שמש </FullAddress>
        <MotionID>0</MotionID>
        <CasePleaID>0</CasePleaID>
        <BirthDate>1991-07-19T00:00:00+03:00</BirthDate>
        <FatherName>מרדכי</FatherName>
        <LinkedCaseID>0</LinkedCaseID>
        <PartyID>2</PartyID>
        <CasePartyCategoryID>2</CasePartyCategoryID>
        <LegalEntityAddressID>88120166</LegalEntityAddressID>
        <PleaTypeID>6</PleaTypeID>
        <GroupPartyAlias>משיבים</GroupPartyAlias>
        <IsConverted>false</IsConverted>
        <LegalEntityRegisteredNameID>9470307</LegalEntityRegisteredNameID>
        <LegalEntityNameID>95114564</LegalEntityNameID>
        <RepresentatedNamesOfAssistant/>
        <LegalEntityTypeID>1</LegalEntityTypeID>
        <IsVerdictExists>false</IsVerdictExists>
        <IsAsirAzir>false</IsAsirAzir>
        <IsPublicationProhibited>false</IsPublicationProhibited>
        <PublicationProhibitedFullName>אושר זיסקינד</PublicationProhibitedFullName>
      </CaseParties>
    </CasePartiesSelectionDS>
    <DecisionName>פסק דין  שניתנה ע"י  תמר בר-אשר</DecisionName>
    <CourtDisplayName>בית המשפט המחוזי בירושלים בשבתו כבית-משפט לערעורים אזרחיים</CourtDisplayName>
    <IsCaseJudgePanel>false</IsCaseJudgePanel>
    <DecisionSignatureDate>2023-08-11T13:35:11.4827251+03:00</DecisionSignatureDate>
    <OpenCaseDate>2023-08-10T07:00:00+03:00</OpenCaseDate>
    <CaseFeeSum>0.000</CaseFeeSum>
    <DecisionTypeID>2</DecisionTypeID>
    <DecisionSignatureUserName>תמר בר-אשר</DecisionSignatureUserName>
    <DecisionSignatureDateHebrew>2023-08-11T13:35:11.4827251+03:00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פוזנר נ' תחנת משטרה - בית שמש ואח'</CaseName>
    <DecisionNumberInCase>1</DecisionNumberInCase>
  </dt_Decision>
  <dt_DecisionCase>
    <DecisionID>0</DecisionID>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אוריאל פוזנר</FullName>
        <FirstName>אוריאל</FirstName>
        <LastName>פוזנר</LastName>
        <PartyPropertyName/>
        <AuthenticationTypeAndNumber>ת"ז 211348453</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259359807</CasePartyID>
        <PartyTypeID>1</PartyTypeID>
        <ActivityStatusID>1</ActivityStatusID>
        <PartyAliasID>5</PartyAliasID>
        <PartyAliasName>מערער</PartyAliasName>
        <OrdinalNumber>1</OrdinalNumber>
        <LegalEntityID>71387279</LegalEntityID>
        <CaseLegalEntityID>125519971</CaseLegalEntityID>
        <AuthenticationTypeID>1</AuthenticationTypeID>
        <AuthenticationTypeName>ת"ז</AuthenticationTypeName>
        <LegalEntityNumber>211348453</LegalEntityNumber>
        <IsMainPartyType>true</IsMainPartyType>
        <CaseDisplayIdentifier>23876-08-23</CaseDisplayIdentifier>
        <CaseTypeID>10001</CaseTypeID>
        <CaseTypeName>ערעור אזרחי (ע"א)</CaseTypeName>
        <CaseName>פוזנר נ' תחנת משטרה - בית שמש ואח'</CaseName>
        <FullAddress>הרב מבריסק 6 בית שמש </FullAddress>
        <MotionID>0</MotionID>
        <CasePleaID>0</CasePleaID>
        <FatherName>שלדון נילס</FatherName>
        <LinkedCaseID>0</LinkedCaseID>
        <PartyID>1</PartyID>
        <CasePartyCategoryID>2</CasePartyCategoryID>
        <LegalEntityAddressID>88120165</LegalEntityAddressID>
        <PleaTypeID>6</PleaTypeID>
        <GroupPartyAlias>מערערים</GroupPartyAlias>
        <IsConverted>false</IsConverted>
        <LegalEntityRegisteredNameID>5523016</LegalEntityRegisteredNameID>
        <LegalEntityNameID>95114563</LegalEntityNameID>
        <RepresentatedNamesOfAssistant/>
        <LegalEntityTypeID>1</LegalEntityTypeID>
        <IsVerdictExists>false</IsVerdictExists>
        <IsAsirAzir>false</IsAsirAzir>
        <IsPublicationProhibited>false</IsPublicationProhibited>
        <PublicationProhibitedFullName>אוריאל פוזנר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תחנת משטרה - בית שמש</FullName>
        <FirstName/>
        <LastName>תחנת משטרה - בית שמש</LastName>
        <PartyPropertyName/>
        <AuthenticationTypeAndNumber>תחנת משטרה 94</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259359808</CasePartyID>
        <PartyTypeID>1</PartyTypeID>
        <ActivityStatusID>1</ActivityStatusID>
        <PartyAliasID>4</PartyAliasID>
        <PartyAliasName>משיב</PartyAliasName>
        <OrdinalNumber>1</OrdinalNumber>
        <LegalEntityID>118</LegalEntityID>
        <CaseLegalEntityID>125519974</CaseLegalEntityID>
        <AuthenticationTypeID>38</AuthenticationTypeID>
        <AuthenticationTypeName>תחנת משטרה</AuthenticationTypeName>
        <LegalEntityNumber>94</LegalEntityNumber>
        <IsMainPartyType>true</IsMainPartyType>
        <CaseDisplayIdentifier>23876-08-23</CaseDisplayIdentifier>
        <CaseTypeID>10001</CaseTypeID>
        <CaseTypeName>ערעור אזרחי (ע"א)</CaseTypeName>
        <CaseName>פוזנר נ' תחנת משטרה - בית שמש ואח'</CaseName>
        <FullAddress/>
        <MotionID>0</MotionID>
        <CasePleaID>0</CasePleaID>
        <LinkedCaseID>0</LinkedCaseID>
        <PartyID>2</PartyID>
        <CasePartyCategoryID>2</CasePartyCategoryID>
        <PleaTypeID>6</PleaTypeID>
        <GroupPartyAlias>משיבים</GroupPartyAlias>
        <IsConverted>false</IsConverted>
        <LegalEntityNameID>92350073</LegalEntityNameID>
        <RepresentatedNamesOfAssistant/>
        <LegalEntityTypeID>14</LegalEntityTypeID>
        <IsVerdictExists>false</IsVerdictExists>
        <IsAsirAzir>false</IsAsirAzir>
        <IsPublicationProhibited>false</IsPublicationProhibited>
        <PublicationProhibitedFullName>תחנת משטרה - בית שמש</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259359809</CasePartyID>
        <PartyTypeID>1</PartyTypeID>
        <ActivityStatusID>1</ActivityStatusID>
        <PartyAliasID>4</PartyAliasID>
        <PartyAliasName>משיב</PartyAliasName>
        <OrdinalNumber>2</OrdinalNumber>
        <LegalEntityID>379235</LegalEntityID>
        <CaseLegalEntityID>125519972</CaseLegalEntityID>
        <AuthenticationTypeID>13</AuthenticationTypeID>
        <AuthenticationTypeName>משרדי ממשלה</AuthenticationTypeName>
        <LegalEntityNumber>500106215</LegalEntityNumber>
        <IsMainPartyType>true</IsMainPartyType>
        <CaseDisplayIdentifier>23876-08-23</CaseDisplayIdentifier>
        <CaseTypeID>10001</CaseTypeID>
        <CaseTypeName>ערעור אזרחי (ע"א)</CaseTypeName>
        <CaseName>פוזנר נ' תחנת משטרה - בית שמש ואח'</CaseName>
        <FullAddress>ת.ד. 18182 ירושלים </FullAddress>
        <MotionID>0</MotionID>
        <CasePleaID>0</CasePleaID>
        <LinkedCaseID>0</LinkedCaseID>
        <PartyID>2</PartyID>
        <CasePartyCategoryID>2</CasePartyCategoryID>
        <LegalEntityAddressID>87563735</LegalEntityAddressID>
        <PleaTypeID>6</PleaTypeID>
        <GroupPartyAlias>משיבים</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259359810</CasePartyID>
        <PartyTypeID>1</PartyTypeID>
        <ActivityStatusID>1</ActivityStatusID>
        <PartyAliasID>4</PartyAliasID>
        <PartyAliasName>משיב</PartyAliasName>
        <OrdinalNumber>3</OrdinalNumber>
        <LegalEntityID>379234</LegalEntityID>
        <CaseLegalEntityID>125519973</CaseLegalEntityID>
        <AuthenticationTypeID>13</AuthenticationTypeID>
        <AuthenticationTypeName>משרדי ממשלה</AuthenticationTypeName>
        <LegalEntityNumber>500106214</LegalEntityNumber>
        <IsMainPartyType>true</IsMainPartyType>
        <CaseDisplayIdentifier>23876-08-23</CaseDisplayIdentifier>
        <CaseTypeID>10001</CaseTypeID>
        <CaseTypeName>ערעור אזרחי (ע"א)</CaseTypeName>
        <CaseName>פוזנר נ' תחנת משטרה - בית שמש ואח'</CaseName>
        <FullAddress>יחידה 171 לידי מש"ק צווים  ד.צ. 02153</FullAddress>
        <MotionID>0</MotionID>
        <CasePleaID>0</CasePleaID>
        <LinkedCaseID>0</LinkedCaseID>
        <PartyID>2</PartyID>
        <CasePartyCategoryID>2</CasePartyCategoryID>
        <LegalEntityAddressID>79582971</LegalEntityAddressID>
        <PleaTypeID>6</PleaTypeID>
        <GroupPartyAlias>משיבים</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אושר זיסקינד</FullName>
        <FirstName>אושר</FirstName>
        <LastName>זיסקינד</LastName>
        <PartyPropertyName/>
        <AuthenticationTypeAndNumber>ת"ז 203080320</AuthenticationTypeAndNumber>
        <RepresentatedOrRepresentativesNames/>
        <RepresentatedOrRepresentativesCount>0</RepresentatedOrRepresentativesCount>
        <InvitedBy/>
        <CaseID>80507655</CaseID>
        <CaseJudicialPersonPresentationDS>
          <CaseJudicalPersonActive>
            <CaseID>80507655</CaseID>
            <JudicialPersonID>059713420@GOV.IL</JudicialPersonID>
            <JudicialPersonTypeID>1</JudicialPersonTypeID>
            <JudicialTypeID>1</JudicialTypeID>
            <IsChairman>false</IsChairman>
            <TreatmentStartDate>2023-08-10T09:08:51.68+03:00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259359811</CasePartyID>
        <PartyTypeID>1</PartyTypeID>
        <ActivityStatusID>1</ActivityStatusID>
        <PartyAliasID>4</PartyAliasID>
        <PartyAliasName>משיב</PartyAliasName>
        <OrdinalNumber>4</OrdinalNumber>
        <LegalEntityID>79671869</LegalEntityID>
        <CaseLegalEntityID>125519975</CaseLegalEntityID>
        <AuthenticationTypeID>1</AuthenticationTypeID>
        <AuthenticationTypeName>ת"ז</AuthenticationTypeName>
        <LegalEntityNumber>203080320</LegalEntityNumber>
        <IsMainPartyType>true</IsMainPartyType>
        <CaseDisplayIdentifier>23876-08-23</CaseDisplayIdentifier>
        <CaseTypeID>10001</CaseTypeID>
        <CaseTypeName>ערעור אזרחי (ע"א)</CaseTypeName>
        <CaseName>פוזנר נ' תחנת משטרה - בית שמש ואח'</CaseName>
        <FullAddress>באר שבע 4/1 בית שמש </FullAddress>
        <MotionID>0</MotionID>
        <CasePleaID>0</CasePleaID>
        <BirthDate>1991-07-19T00:00:00+03:00</BirthDate>
        <FatherName>מרדכי</FatherName>
        <LinkedCaseID>0</LinkedCaseID>
        <PartyID>2</PartyID>
        <CasePartyCategoryID>2</CasePartyCategoryID>
        <LegalEntityAddressID>88120166</LegalEntityAddressID>
        <PleaTypeID>6</PleaTypeID>
        <GroupPartyAlias>משיבים</GroupPartyAlias>
        <IsConverted>false</IsConverted>
        <LegalEntityRegisteredNameID>9470307</LegalEntityRegisteredNameID>
        <LegalEntityNameID>95114564</LegalEntityNameID>
        <RepresentatedNamesOfAssistant/>
        <LegalEntityTypeID>1</LegalEntityTypeID>
        <IsVerdictExists>false</IsVerdictExists>
        <IsAsirAzir>false</IsAsirAzir>
        <IsPublicationProhibited>false</IsPublicationProhibited>
        <PublicationProhibitedFullName>אושר זיסקינד</PublicationProhibitedFullName>
      </CaseParties>
    </CasePartiesSelectionDS>
    <CaseName>פוזנר נ' תחנת משטרה - בית שמש ואח'</CaseName>
    <CaseDisplayIdentifier>23876-08-23</CaseDisplayIdentifier>
    <CaseInterestID>10435</CaseInterestID>
    <CaseTypeShortName>ע"א</CaseTypeShortName>
  </dt_DecisionCase>
  <dt_DecisionJudgePanel>
    <JudgeID>059713420@GOV.IL</JudgeID>
    <DisplayName>תמר בר-אשר</DisplayName>
    <RoleName>שופט</RoleName>
    <UserTitleName>שופטת</UserTitleName>
  </dt_DecisionJudgePanel>
  <dt_LegalEntityDetails>
    <PartyID>1</PartyID>
    <PartyTypeID>1</PartyTypeID>
    <DecisionID>0</DecisionID>
    <StreetName>הרב מבריסק 6</StreetName>
    <CityName>בית שמש</CityName>
    <FullName>אוריאל פוזנר</FullName>
    <IsPublicationProhibited>false</IsPublicationProhibited>
  </dt_LegalEntityDetails>
  <dt_LegalEntityDetails>
    <PartyID>2</PartyID>
    <PartyTypeID>1</PartyTypeID>
    <DecisionID>0</DecisionID>
    <IsPublicationProhibited>false</IsPublicationProhibited>
  </dt_LegalEntityDetails>
  <dt_LegalEntityDetails>
    <Fax>02-5420860</Fax>
    <PartyID>2</PartyID>
    <PartyTypeID>1</PartyTypeID>
    <DecisionID>0</DecisionID>
    <StreetName>ת.ד. 18182</StreetName>
    <CityName>ירושלים</CityName>
    <FullName> משרד הפנים/האגף לרישוי כלי נשק</FullName>
    <IsPublicationProhibited>false</IsPublicationProhibited>
  </dt_LegalEntityDetails>
  <dt_LegalEntityDetails>
    <Fax>076-5399728</Fax>
    <Phone>03-7379434</Phone>
    <AddressDesc>ד.צ. 02153</AddressDesc>
    <PartyID>2</PartyID>
    <PartyTypeID>1</PartyTypeID>
    <DecisionID>0</DecisionID>
    <StreetName>יחידה 171 לידי מש"ק צווים</StreetName>
    <FullName> צה"ל - מפקדת קצין משטרה צבאית (מקמצ"ר)</FullName>
    <IsPublicationProhibited>false</IsPublicationProhibited>
  </dt_LegalEntityDetails>
  <dt_LegalEntityDetails>
    <PartyID>2</PartyID>
    <PartyTypeID>1</PartyTypeID>
    <DecisionID>0</DecisionID>
    <StreetName>באר שבע 4/1</StreetName>
    <CityName>בית שמש</CityName>
    <FullName>אושר זיסקינד</FullName>
    <IsPublicationProhibited>false</IsPublicationProhibited>
  </dt_LegalEntityDetails>
  <dt_CaseJudicalPersonActive>
    <CaseJudicalPerson>שופטת תמר בר-אשר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73E2C-4A0A-4DCC-9316-8E3A1A8991E4}">
  <ds:schemaRefs/>
</ds:datastoreItem>
</file>

<file path=customXml/itemProps2.xml><?xml version="1.0" encoding="utf-8"?>
<ds:datastoreItem xmlns:ds="http://schemas.openxmlformats.org/officeDocument/2006/customXml" ds:itemID="{305F1988-A7CB-4CD3-A9D4-47DA0E12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1500</Words>
  <Characters>7500</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2023-08-16T11:56:00Z</dcterms:created>
  <dcterms:modified xsi:type="dcterms:W3CDTF">2023-08-16T11:56:00Z</dcterms:modified>
</cp:coreProperties>
</file>